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2"/>
        <w:numPr>
          <w:ilvl w:val="1"/>
          <w:numId w:val="2"/>
        </w:numPr>
        <w:spacing w:before="200" w:after="120"/>
        <w:rPr/>
      </w:pPr>
      <w:r>
        <w:rPr/>
        <w:t>SPOTKANI</w:t>
      </w:r>
      <w:r>
        <w:drawing>
          <wp:anchor behindDoc="0" distT="0" distB="0" distL="0" distR="0" simplePos="0" locked="0" layoutInCell="1" allowOverlap="1" relativeHeight="2">
            <wp:simplePos x="0" y="0"/>
            <wp:positionH relativeFrom="column">
              <wp:posOffset>3991610</wp:posOffset>
            </wp:positionH>
            <wp:positionV relativeFrom="paragraph">
              <wp:posOffset>-374650</wp:posOffset>
            </wp:positionV>
            <wp:extent cx="2543810" cy="69405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2543810" cy="694055"/>
                    </a:xfrm>
                    <a:prstGeom prst="rect">
                      <a:avLst/>
                    </a:prstGeom>
                  </pic:spPr>
                </pic:pic>
              </a:graphicData>
            </a:graphic>
          </wp:anchor>
        </w:drawing>
      </w:r>
      <w:r>
        <w:rPr/>
        <w:t>A</w:t>
      </w:r>
      <w:r>
        <w:rPr/>
        <w:t xml:space="preserve"> PLANET  </w:t>
      </w:r>
    </w:p>
    <w:p>
      <w:pPr>
        <w:pStyle w:val="TextBody"/>
        <w:rPr/>
      </w:pPr>
      <w:r>
        <w:rPr/>
      </w:r>
    </w:p>
    <w:p>
      <w:pPr>
        <w:pStyle w:val="TextBody"/>
        <w:rPr/>
      </w:pPr>
      <w:r>
        <w:rPr/>
        <w:tab/>
        <w:tab/>
        <w:tab/>
        <w:tab/>
        <w:tab/>
        <w:tab/>
        <w:tab/>
        <w:tab/>
        <w:tab/>
        <w:t>Imię i nazwisko…………………</w:t>
      </w:r>
    </w:p>
    <w:p>
      <w:pPr>
        <w:pStyle w:val="TextBody"/>
        <w:jc w:val="right"/>
        <w:rPr/>
      </w:pPr>
      <w:r>
        <w:rPr/>
        <w:t>Rok………...</w:t>
        <w:tab/>
        <w:tab/>
      </w:r>
    </w:p>
    <w:tbl>
      <w:tblPr>
        <w:tblW w:w="9638" w:type="dxa"/>
        <w:jc w:val="left"/>
        <w:tblInd w:w="41"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36" w:type="dxa"/>
          <w:bottom w:w="55" w:type="dxa"/>
          <w:right w:w="55" w:type="dxa"/>
        </w:tblCellMar>
      </w:tblPr>
      <w:tblGrid>
        <w:gridCol w:w="9638"/>
      </w:tblGrid>
      <w:tr>
        <w:trPr/>
        <w:tc>
          <w:tcPr>
            <w:tcW w:w="9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6" w:type="dxa"/>
            </w:tcMar>
          </w:tcPr>
          <w:p>
            <w:pPr>
              <w:pStyle w:val="TextBody"/>
              <w:widowControl/>
              <w:bidi w:val="0"/>
              <w:spacing w:lineRule="auto" w:line="288" w:before="0" w:after="140"/>
              <w:ind w:left="0" w:right="180" w:hanging="0"/>
              <w:jc w:val="left"/>
              <w:rPr/>
            </w:pPr>
            <w:r>
              <w:rPr>
                <w:b/>
                <w:bCs/>
                <w:i w:val="false"/>
                <w:iCs w:val="false"/>
                <w:color w:val="FF3333"/>
                <w:sz w:val="28"/>
                <w:szCs w:val="28"/>
              </w:rPr>
              <w:t xml:space="preserve">Uwaga! </w:t>
            </w:r>
            <w:r>
              <w:rPr>
                <w:b w:val="false"/>
                <w:bCs w:val="false"/>
                <w:i w:val="false"/>
                <w:iCs w:val="false"/>
                <w:sz w:val="18"/>
                <w:szCs w:val="18"/>
              </w:rPr>
              <w:t>Nigdy nie patrz przez żaden instrument optyczny (luneta, lornetka, teleskop, lupa itp.) bezpośrednio na Słońce i</w:t>
            </w:r>
            <w:r>
              <w:rPr>
                <w:b w:val="false"/>
                <w:bCs w:val="false"/>
                <w:i w:val="false"/>
                <w:iCs w:val="false"/>
                <w:sz w:val="18"/>
                <w:szCs w:val="18"/>
              </w:rPr>
              <w:t> </w:t>
            </w:r>
            <w:r>
              <w:rPr>
                <w:b w:val="false"/>
                <w:bCs w:val="false"/>
                <w:i w:val="false"/>
                <w:iCs w:val="false"/>
                <w:sz w:val="18"/>
                <w:szCs w:val="18"/>
              </w:rPr>
              <w:t>jego otoczenie. Dotyczy to także planet znajdujących się w pobliżu Słońca. Grozi to trwałą utratą wzroku! Pamiętaj, że Księżyc świeci odbitym światłem Słoneczny, Jego blask nie jest tak jasny jak światło Słońca, ale może uszkodzić nasze oczy, gdy długo obserwujemy go w dużym przybliżeniu. Jeśli patrząc na Księżyc – szczególnie bliski pełni – np. przez lornetkę czujesz ból lub zmęczenie oczu, natychmiast przerwij obserwacje. Obserwuj niebo przez instrumenty optyczne pod nadzorem osoby dorosłej!</w:t>
            </w:r>
          </w:p>
        </w:tc>
      </w:tr>
    </w:tbl>
    <w:p>
      <w:pPr>
        <w:pStyle w:val="TextBody"/>
        <w:widowControl/>
        <w:bidi w:val="0"/>
        <w:spacing w:lineRule="auto" w:line="288" w:before="0" w:after="140"/>
        <w:ind w:left="0" w:right="4049" w:hanging="0"/>
        <w:jc w:val="left"/>
        <w:rPr/>
      </w:pPr>
      <w:r>
        <w:rPr/>
        <w:tab/>
        <w:tab/>
      </w:r>
    </w:p>
    <w:tbl>
      <w:tblPr>
        <w:tblW w:w="9630" w:type="dxa"/>
        <w:jc w:val="left"/>
        <w:tblInd w:w="43" w:type="dxa"/>
        <w:tblBorders>
          <w:top w:val="single" w:sz="2" w:space="0" w:color="000001"/>
          <w:left w:val="single" w:sz="2" w:space="0" w:color="000001"/>
          <w:bottom w:val="single" w:sz="2" w:space="0" w:color="000001"/>
          <w:insideH w:val="single" w:sz="2" w:space="0" w:color="000001"/>
        </w:tblBorders>
        <w:tblCellMar>
          <w:top w:w="55" w:type="dxa"/>
          <w:left w:w="39" w:type="dxa"/>
          <w:bottom w:w="55" w:type="dxa"/>
          <w:right w:w="55" w:type="dxa"/>
        </w:tblCellMar>
      </w:tblPr>
      <w:tblGrid>
        <w:gridCol w:w="2880"/>
        <w:gridCol w:w="1170"/>
        <w:gridCol w:w="1800"/>
        <w:gridCol w:w="2068"/>
        <w:gridCol w:w="1712"/>
      </w:tblGrid>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b/>
                <w:bCs/>
                <w:sz w:val="21"/>
                <w:szCs w:val="21"/>
              </w:rPr>
              <w:t>Data i czas zjawiska</w:t>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sz w:val="21"/>
                <w:szCs w:val="21"/>
              </w:rPr>
            </w:pPr>
            <w:r>
              <w:rPr>
                <w:b/>
                <w:bCs/>
                <w:sz w:val="21"/>
                <w:szCs w:val="21"/>
              </w:rPr>
              <w:t>Data i czas obserwacji</w:t>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b/>
                <w:bCs/>
                <w:sz w:val="21"/>
                <w:szCs w:val="21"/>
              </w:rPr>
              <w:t>Współrzędne geograficzne</w:t>
            </w:r>
          </w:p>
        </w:tc>
        <w:tc>
          <w:tcPr>
            <w:tcW w:w="2068"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b/>
                <w:bCs/>
                <w:sz w:val="21"/>
                <w:szCs w:val="21"/>
              </w:rPr>
              <w:t>Zaobserwowane obiekty</w:t>
            </w:r>
          </w:p>
        </w:tc>
        <w:tc>
          <w:tcPr>
            <w:tcW w:w="17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tcPr>
          <w:p>
            <w:pPr>
              <w:pStyle w:val="TableContents"/>
              <w:rPr/>
            </w:pPr>
            <w:r>
              <w:rPr>
                <w:b/>
                <w:bCs/>
                <w:sz w:val="21"/>
                <w:szCs w:val="21"/>
              </w:rPr>
              <w:t xml:space="preserve">Uwagi (pogoda, warunki) </w:t>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sz w:val="22"/>
                <w:szCs w:val="22"/>
              </w:rPr>
              <w:t xml:space="preserve">25-28 II 2023, wieczorem </w:t>
            </w:r>
          </w:p>
          <w:p>
            <w:pPr>
              <w:pStyle w:val="TableContents"/>
              <w:rPr>
                <w:sz w:val="22"/>
                <w:szCs w:val="22"/>
              </w:rPr>
            </w:pPr>
            <w:r>
              <w:rPr>
                <w:b/>
                <w:bCs/>
                <w:sz w:val="22"/>
                <w:szCs w:val="22"/>
              </w:rPr>
              <w:t>Jowisz</w:t>
            </w:r>
            <w:r>
              <w:rPr>
                <w:sz w:val="22"/>
                <w:szCs w:val="22"/>
              </w:rPr>
              <w:t xml:space="preserve"> widoczny ponad </w:t>
            </w:r>
            <w:r>
              <w:rPr>
                <w:b/>
                <w:bCs/>
                <w:sz w:val="22"/>
                <w:szCs w:val="22"/>
              </w:rPr>
              <w:t>Wenus</w:t>
            </w:r>
            <w:r>
              <w:rPr>
                <w:sz w:val="22"/>
                <w:szCs w:val="22"/>
              </w:rPr>
              <w:t xml:space="preserve"> przed zachodem Słońca</w:t>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b/>
                <w:b/>
                <w:bCs/>
                <w:sz w:val="21"/>
                <w:szCs w:val="21"/>
              </w:rPr>
            </w:pPr>
            <w:r>
              <w:rPr>
                <w:b/>
                <w:bCs/>
                <w:sz w:val="21"/>
                <w:szCs w:val="21"/>
              </w:rPr>
            </w:r>
          </w:p>
        </w:tc>
        <w:tc>
          <w:tcPr>
            <w:tcW w:w="2068"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7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sz w:val="22"/>
                <w:szCs w:val="22"/>
              </w:rPr>
              <w:t>27 II 2023, wieczorem i aż do północy</w:t>
            </w:r>
          </w:p>
          <w:p>
            <w:pPr>
              <w:pStyle w:val="TableContents"/>
              <w:rPr>
                <w:sz w:val="22"/>
                <w:szCs w:val="22"/>
              </w:rPr>
            </w:pPr>
            <w:r>
              <w:rPr>
                <w:b/>
                <w:bCs/>
                <w:sz w:val="22"/>
                <w:szCs w:val="22"/>
              </w:rPr>
              <w:t>Mars</w:t>
            </w:r>
            <w:r>
              <w:rPr>
                <w:sz w:val="22"/>
                <w:szCs w:val="22"/>
              </w:rPr>
              <w:t xml:space="preserve"> widoczny w pobliżu </w:t>
            </w:r>
            <w:r>
              <w:rPr>
                <w:b/>
                <w:bCs/>
                <w:sz w:val="22"/>
                <w:szCs w:val="22"/>
              </w:rPr>
              <w:t>Księżyca</w:t>
            </w:r>
            <w:r>
              <w:rPr>
                <w:sz w:val="22"/>
                <w:szCs w:val="22"/>
              </w:rPr>
              <w:t xml:space="preserve"> (w fazie 54%)</w:t>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2068"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7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sz w:val="22"/>
                <w:szCs w:val="22"/>
              </w:rPr>
              <w:t>1-3 III 2023, wieczorem, około 19:00</w:t>
            </w:r>
          </w:p>
          <w:p>
            <w:pPr>
              <w:pStyle w:val="TableContents"/>
              <w:rPr>
                <w:sz w:val="22"/>
                <w:szCs w:val="22"/>
              </w:rPr>
            </w:pPr>
            <w:r>
              <w:rPr>
                <w:b/>
                <w:bCs/>
                <w:sz w:val="22"/>
                <w:szCs w:val="22"/>
              </w:rPr>
              <w:t xml:space="preserve">Wenus </w:t>
            </w:r>
            <w:r>
              <w:rPr>
                <w:b w:val="false"/>
                <w:bCs w:val="false"/>
                <w:sz w:val="22"/>
                <w:szCs w:val="22"/>
              </w:rPr>
              <w:t>widoczna blisko</w:t>
            </w:r>
            <w:r>
              <w:rPr>
                <w:b/>
                <w:bCs/>
                <w:sz w:val="22"/>
                <w:szCs w:val="22"/>
              </w:rPr>
              <w:t xml:space="preserve"> Jowisza</w:t>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2068"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7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sz w:val="22"/>
                <w:szCs w:val="22"/>
              </w:rPr>
              <w:t>23 III 2023, wieczorem, około 18:00-19:00</w:t>
            </w:r>
          </w:p>
          <w:p>
            <w:pPr>
              <w:pStyle w:val="TableContents"/>
              <w:rPr>
                <w:sz w:val="22"/>
                <w:szCs w:val="22"/>
              </w:rPr>
            </w:pPr>
            <w:r>
              <w:rPr>
                <w:b/>
                <w:bCs/>
                <w:sz w:val="22"/>
                <w:szCs w:val="22"/>
              </w:rPr>
              <w:t>Księżyc</w:t>
            </w:r>
            <w:r>
              <w:rPr>
                <w:sz w:val="22"/>
                <w:szCs w:val="22"/>
              </w:rPr>
              <w:t xml:space="preserve"> w fazie sierpa (5%) między </w:t>
            </w:r>
            <w:r>
              <w:rPr>
                <w:b/>
                <w:bCs/>
                <w:sz w:val="22"/>
                <w:szCs w:val="22"/>
              </w:rPr>
              <w:t>Wenus</w:t>
            </w:r>
            <w:r>
              <w:rPr>
                <w:sz w:val="22"/>
                <w:szCs w:val="22"/>
              </w:rPr>
              <w:t xml:space="preserve"> a </w:t>
            </w:r>
            <w:r>
              <w:rPr>
                <w:b/>
                <w:bCs/>
                <w:sz w:val="22"/>
                <w:szCs w:val="22"/>
              </w:rPr>
              <w:t>Jowiszem</w:t>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2068"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7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sz w:val="22"/>
                <w:szCs w:val="22"/>
              </w:rPr>
              <w:t>24 III 2023, wieczorem, około 19:00</w:t>
            </w:r>
          </w:p>
          <w:p>
            <w:pPr>
              <w:pStyle w:val="TableContents"/>
              <w:rPr/>
            </w:pPr>
            <w:r>
              <w:rPr>
                <w:b/>
                <w:bCs/>
                <w:sz w:val="22"/>
                <w:szCs w:val="22"/>
              </w:rPr>
              <w:t>Księżyc</w:t>
            </w:r>
            <w:r>
              <w:rPr>
                <w:sz w:val="22"/>
                <w:szCs w:val="22"/>
              </w:rPr>
              <w:t xml:space="preserve"> (11%) blisko </w:t>
            </w:r>
            <w:r>
              <w:rPr>
                <w:b/>
                <w:bCs/>
                <w:sz w:val="22"/>
                <w:szCs w:val="22"/>
              </w:rPr>
              <w:t>Wenus</w:t>
            </w:r>
            <w:r>
              <w:rPr>
                <w:sz w:val="22"/>
                <w:szCs w:val="22"/>
              </w:rPr>
              <w:t xml:space="preserve"> </w:t>
            </w:r>
            <w:r>
              <w:rPr>
                <w:b w:val="false"/>
                <w:bCs w:val="false"/>
                <w:sz w:val="22"/>
                <w:szCs w:val="22"/>
              </w:rPr>
              <w:t>i</w:t>
            </w:r>
            <w:r>
              <w:rPr>
                <w:b w:val="false"/>
                <w:bCs w:val="false"/>
                <w:sz w:val="22"/>
                <w:szCs w:val="22"/>
              </w:rPr>
              <w:t> </w:t>
            </w:r>
            <w:r>
              <w:rPr>
                <w:b/>
                <w:bCs/>
                <w:sz w:val="22"/>
                <w:szCs w:val="22"/>
              </w:rPr>
              <w:t>Urana</w:t>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2068"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7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sz w:val="22"/>
                <w:szCs w:val="22"/>
              </w:rPr>
              <w:t>27-29 III 2023, tuż po zachodzie Słońca, bardzo nisko nad horyzontem</w:t>
            </w:r>
          </w:p>
          <w:p>
            <w:pPr>
              <w:pStyle w:val="TableContents"/>
              <w:rPr>
                <w:sz w:val="22"/>
                <w:szCs w:val="22"/>
              </w:rPr>
            </w:pPr>
            <w:r>
              <w:rPr>
                <w:b/>
                <w:bCs/>
                <w:sz w:val="22"/>
                <w:szCs w:val="22"/>
              </w:rPr>
              <w:t>Merkury</w:t>
            </w:r>
            <w:r>
              <w:rPr>
                <w:sz w:val="22"/>
                <w:szCs w:val="22"/>
              </w:rPr>
              <w:t xml:space="preserve"> w pobliżu </w:t>
            </w:r>
            <w:r>
              <w:rPr>
                <w:b/>
                <w:bCs/>
                <w:sz w:val="22"/>
                <w:szCs w:val="22"/>
              </w:rPr>
              <w:t>Jowisza</w:t>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2068"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7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sz w:val="22"/>
                <w:szCs w:val="22"/>
              </w:rPr>
              <w:t>28 III 2023, około 20:30</w:t>
            </w:r>
          </w:p>
          <w:p>
            <w:pPr>
              <w:pStyle w:val="TableContents"/>
              <w:rPr/>
            </w:pPr>
            <w:r>
              <w:rPr>
                <w:b/>
                <w:bCs/>
                <w:sz w:val="22"/>
                <w:szCs w:val="22"/>
              </w:rPr>
              <w:t>Księżyc</w:t>
            </w:r>
            <w:r>
              <w:rPr>
                <w:sz w:val="22"/>
                <w:szCs w:val="22"/>
              </w:rPr>
              <w:t xml:space="preserve"> (47%) w pobliżu </w:t>
            </w:r>
            <w:r>
              <w:rPr>
                <w:b/>
                <w:bCs/>
                <w:sz w:val="22"/>
                <w:szCs w:val="22"/>
              </w:rPr>
              <w:t>Marsa</w:t>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2068"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7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sz w:val="22"/>
                <w:szCs w:val="22"/>
              </w:rPr>
              <w:t>11 IV 2023, około 21:30</w:t>
            </w:r>
          </w:p>
          <w:p>
            <w:pPr>
              <w:pStyle w:val="TableContents"/>
              <w:rPr>
                <w:sz w:val="22"/>
                <w:szCs w:val="22"/>
              </w:rPr>
            </w:pPr>
            <w:r>
              <w:rPr>
                <w:b/>
                <w:bCs/>
                <w:sz w:val="22"/>
                <w:szCs w:val="22"/>
              </w:rPr>
              <w:t xml:space="preserve">Wenus </w:t>
            </w:r>
            <w:r>
              <w:rPr>
                <w:b w:val="false"/>
                <w:bCs w:val="false"/>
                <w:sz w:val="22"/>
                <w:szCs w:val="22"/>
              </w:rPr>
              <w:t xml:space="preserve">w pobliżu gromady otwartej gwiazd </w:t>
            </w:r>
            <w:r>
              <w:rPr>
                <w:b/>
                <w:bCs/>
                <w:sz w:val="22"/>
                <w:szCs w:val="22"/>
              </w:rPr>
              <w:t>Plejady</w:t>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2068"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7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sz w:val="22"/>
                <w:szCs w:val="22"/>
              </w:rPr>
              <w:t>15 IV 2023, około 21:30</w:t>
            </w:r>
          </w:p>
          <w:p>
            <w:pPr>
              <w:pStyle w:val="TableContents"/>
              <w:rPr/>
            </w:pPr>
            <w:r>
              <w:rPr>
                <w:b/>
                <w:bCs/>
                <w:sz w:val="22"/>
                <w:szCs w:val="22"/>
              </w:rPr>
              <w:t xml:space="preserve">Wenus </w:t>
            </w:r>
            <w:r>
              <w:rPr>
                <w:b w:val="false"/>
                <w:bCs w:val="false"/>
                <w:sz w:val="22"/>
                <w:szCs w:val="22"/>
              </w:rPr>
              <w:t xml:space="preserve">w pobliżu gromad otwartych gwiazd: </w:t>
            </w:r>
            <w:r>
              <w:rPr>
                <w:b/>
                <w:bCs/>
                <w:sz w:val="22"/>
                <w:szCs w:val="22"/>
              </w:rPr>
              <w:t>Hiad</w:t>
            </w:r>
            <w:r>
              <w:rPr>
                <w:b w:val="false"/>
                <w:bCs w:val="false"/>
                <w:sz w:val="22"/>
                <w:szCs w:val="22"/>
              </w:rPr>
              <w:t xml:space="preserve"> i</w:t>
            </w:r>
            <w:r>
              <w:rPr>
                <w:b w:val="false"/>
                <w:bCs w:val="false"/>
                <w:sz w:val="22"/>
                <w:szCs w:val="22"/>
              </w:rPr>
              <w:t> </w:t>
            </w:r>
            <w:r>
              <w:rPr>
                <w:b/>
                <w:bCs/>
                <w:sz w:val="22"/>
                <w:szCs w:val="22"/>
              </w:rPr>
              <w:t>Plejad</w:t>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2068"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7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sz w:val="22"/>
                <w:szCs w:val="22"/>
              </w:rPr>
              <w:t xml:space="preserve">20 IV 2023, </w:t>
            </w:r>
            <w:bookmarkStart w:id="0" w:name="__DdeLink__1935_530840387"/>
            <w:r>
              <w:rPr>
                <w:sz w:val="22"/>
                <w:szCs w:val="22"/>
              </w:rPr>
              <w:t>wieczorem</w:t>
            </w:r>
            <w:bookmarkEnd w:id="0"/>
            <w:r>
              <w:rPr>
                <w:sz w:val="22"/>
                <w:szCs w:val="22"/>
              </w:rPr>
              <w:t xml:space="preserve"> i nocą</w:t>
            </w:r>
          </w:p>
          <w:p>
            <w:pPr>
              <w:pStyle w:val="TableContents"/>
              <w:rPr/>
            </w:pPr>
            <w:r>
              <w:rPr>
                <w:sz w:val="22"/>
                <w:szCs w:val="22"/>
              </w:rPr>
              <w:t xml:space="preserve">Nów </w:t>
            </w:r>
            <w:r>
              <w:rPr>
                <w:b/>
                <w:bCs/>
                <w:sz w:val="22"/>
                <w:szCs w:val="22"/>
              </w:rPr>
              <w:t>Księżyca</w:t>
            </w:r>
            <w:r>
              <w:rPr>
                <w:sz w:val="22"/>
                <w:szCs w:val="22"/>
              </w:rPr>
              <w:t>, najlepsze warunki do obserwacji planet i</w:t>
            </w:r>
            <w:r>
              <w:rPr>
                <w:sz w:val="22"/>
                <w:szCs w:val="22"/>
              </w:rPr>
              <w:t> </w:t>
            </w:r>
            <w:r>
              <w:rPr>
                <w:sz w:val="22"/>
                <w:szCs w:val="22"/>
              </w:rPr>
              <w:t>gwiazd</w:t>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2068"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7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sz w:val="22"/>
                <w:szCs w:val="22"/>
              </w:rPr>
              <w:t>21 IV 2023, wieczorem</w:t>
            </w:r>
          </w:p>
          <w:p>
            <w:pPr>
              <w:pStyle w:val="TableContents"/>
              <w:rPr>
                <w:sz w:val="22"/>
                <w:szCs w:val="22"/>
              </w:rPr>
            </w:pPr>
            <w:r>
              <w:rPr>
                <w:b/>
                <w:bCs/>
                <w:sz w:val="22"/>
                <w:szCs w:val="22"/>
              </w:rPr>
              <w:t xml:space="preserve">Księżyc </w:t>
            </w:r>
            <w:r>
              <w:rPr>
                <w:b w:val="false"/>
                <w:bCs w:val="false"/>
                <w:sz w:val="22"/>
                <w:szCs w:val="22"/>
              </w:rPr>
              <w:t>w fazie sierpa</w:t>
            </w:r>
            <w:r>
              <w:rPr>
                <w:b/>
                <w:bCs/>
                <w:sz w:val="22"/>
                <w:szCs w:val="22"/>
              </w:rPr>
              <w:t xml:space="preserve"> </w:t>
            </w:r>
            <w:r>
              <w:rPr>
                <w:b w:val="false"/>
                <w:bCs w:val="false"/>
                <w:sz w:val="22"/>
                <w:szCs w:val="22"/>
              </w:rPr>
              <w:t>(3%)</w:t>
            </w:r>
            <w:r>
              <w:rPr>
                <w:b/>
                <w:bCs/>
                <w:sz w:val="22"/>
                <w:szCs w:val="22"/>
              </w:rPr>
              <w:t xml:space="preserve"> </w:t>
            </w:r>
            <w:r>
              <w:rPr>
                <w:b w:val="false"/>
                <w:bCs w:val="false"/>
                <w:sz w:val="22"/>
                <w:szCs w:val="22"/>
              </w:rPr>
              <w:t>w</w:t>
            </w:r>
            <w:r>
              <w:rPr>
                <w:b w:val="false"/>
                <w:bCs w:val="false"/>
                <w:sz w:val="22"/>
                <w:szCs w:val="22"/>
              </w:rPr>
              <w:t> </w:t>
            </w:r>
            <w:r>
              <w:rPr>
                <w:b w:val="false"/>
                <w:bCs w:val="false"/>
                <w:sz w:val="22"/>
                <w:szCs w:val="22"/>
              </w:rPr>
              <w:t xml:space="preserve">pobliżu </w:t>
            </w:r>
            <w:r>
              <w:rPr>
                <w:b/>
                <w:bCs/>
                <w:sz w:val="22"/>
                <w:szCs w:val="22"/>
              </w:rPr>
              <w:t>Merkurego</w:t>
            </w:r>
            <w:r>
              <w:rPr>
                <w:b w:val="false"/>
                <w:bCs w:val="false"/>
                <w:sz w:val="22"/>
                <w:szCs w:val="22"/>
              </w:rPr>
              <w:t xml:space="preserve">, powyżej </w:t>
            </w:r>
            <w:r>
              <w:rPr>
                <w:b/>
                <w:bCs/>
                <w:sz w:val="22"/>
                <w:szCs w:val="22"/>
              </w:rPr>
              <w:t>Wenus</w:t>
            </w:r>
            <w:r>
              <w:rPr>
                <w:b w:val="false"/>
                <w:bCs w:val="false"/>
                <w:sz w:val="22"/>
                <w:szCs w:val="22"/>
              </w:rPr>
              <w:t xml:space="preserve"> i </w:t>
            </w:r>
            <w:r>
              <w:rPr>
                <w:b/>
                <w:bCs/>
                <w:sz w:val="22"/>
                <w:szCs w:val="22"/>
              </w:rPr>
              <w:t>Plejady</w:t>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2068"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7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sz w:val="22"/>
                <w:szCs w:val="22"/>
              </w:rPr>
            </w:pPr>
            <w:r>
              <w:rPr>
                <w:sz w:val="22"/>
                <w:szCs w:val="22"/>
              </w:rPr>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2068"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7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sz w:val="22"/>
                <w:szCs w:val="22"/>
              </w:rPr>
            </w:pPr>
            <w:r>
              <w:rPr>
                <w:sz w:val="22"/>
                <w:szCs w:val="22"/>
              </w:rPr>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2068"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7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tcPr>
          <w:p>
            <w:pPr>
              <w:pStyle w:val="TableContents"/>
              <w:rPr/>
            </w:pPr>
            <w:r>
              <w:rPr/>
            </w:r>
          </w:p>
        </w:tc>
      </w:tr>
      <w:tr>
        <w:trPr/>
        <w:tc>
          <w:tcPr>
            <w:tcW w:w="288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sz w:val="22"/>
                <w:szCs w:val="22"/>
              </w:rPr>
            </w:pPr>
            <w:r>
              <w:rPr>
                <w:sz w:val="22"/>
                <w:szCs w:val="22"/>
              </w:rPr>
            </w:r>
          </w:p>
          <w:p>
            <w:pPr>
              <w:pStyle w:val="TableContents"/>
              <w:rPr>
                <w:sz w:val="22"/>
                <w:szCs w:val="22"/>
              </w:rPr>
            </w:pPr>
            <w:r>
              <w:rPr>
                <w:sz w:val="22"/>
                <w:szCs w:val="22"/>
              </w:rPr>
            </w:r>
          </w:p>
        </w:tc>
        <w:tc>
          <w:tcPr>
            <w:tcW w:w="117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800"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2068" w:type="dxa"/>
            <w:tcBorders>
              <w:top w:val="single" w:sz="2" w:space="0" w:color="000001"/>
              <w:left w:val="single" w:sz="2" w:space="0" w:color="000001"/>
              <w:bottom w:val="single" w:sz="2" w:space="0" w:color="000001"/>
              <w:insideH w:val="single" w:sz="2" w:space="0" w:color="000001"/>
            </w:tcBorders>
            <w:shd w:fill="auto" w:val="clear"/>
            <w:tcMar>
              <w:left w:w="39" w:type="dxa"/>
            </w:tcMar>
          </w:tcPr>
          <w:p>
            <w:pPr>
              <w:pStyle w:val="TableContents"/>
              <w:rPr/>
            </w:pPr>
            <w:r>
              <w:rPr/>
            </w:r>
          </w:p>
        </w:tc>
        <w:tc>
          <w:tcPr>
            <w:tcW w:w="17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tcPr>
          <w:p>
            <w:pPr>
              <w:pStyle w:val="TableContents"/>
              <w:rPr/>
            </w:pPr>
            <w:r>
              <w:rPr/>
            </w:r>
          </w:p>
        </w:tc>
      </w:tr>
    </w:tbl>
    <w:p>
      <w:pPr>
        <w:pStyle w:val="TextBody"/>
        <w:widowControl/>
        <w:bidi w:val="0"/>
        <w:spacing w:lineRule="auto" w:line="288" w:before="0" w:after="140"/>
        <w:ind w:left="0" w:right="4049" w:hanging="0"/>
        <w:jc w:val="left"/>
        <w:rPr/>
      </w:pPr>
      <w:r>
        <w:rPr/>
      </w:r>
    </w:p>
    <w:p>
      <w:pPr>
        <w:pStyle w:val="TextBody"/>
        <w:spacing w:before="0" w:after="140"/>
        <w:rPr/>
      </w:pPr>
      <w:r>
        <w:rPr/>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pStyle w:val="Heading2"/>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5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FreeSans"/>
        <w:sz w:val="20"/>
        <w:szCs w:val="24"/>
        <w:lang w:val="pl-PL" w:eastAsia="zh-CN" w:bidi="hi-IN"/>
      </w:rPr>
    </w:rPrDefault>
    <w:pPrDefault>
      <w:pPr/>
    </w:pPrDefault>
  </w:docDefaults>
  <w:style w:type="paragraph" w:styleId="Normal">
    <w:name w:val="Normal"/>
    <w:qFormat/>
    <w:pPr>
      <w:widowControl/>
      <w:bidi w:val="0"/>
      <w:jc w:val="left"/>
    </w:pPr>
    <w:rPr>
      <w:rFonts w:ascii="Liberation Serif" w:hAnsi="Liberation Serif" w:eastAsia="DejaVu Sans" w:cs="FreeSans"/>
      <w:color w:val="00000A"/>
      <w:sz w:val="24"/>
      <w:szCs w:val="24"/>
      <w:lang w:val="pl-PL" w:eastAsia="zh-CN" w:bidi="hi-IN"/>
    </w:rPr>
  </w:style>
  <w:style w:type="paragraph" w:styleId="Heading2">
    <w:name w:val="Heading 2"/>
    <w:basedOn w:val="Heading"/>
    <w:qFormat/>
    <w:pPr>
      <w:numPr>
        <w:ilvl w:val="1"/>
        <w:numId w:val="1"/>
      </w:numPr>
      <w:spacing w:before="200" w:after="120"/>
      <w:outlineLvl w:val="1"/>
      <w:outlineLvl w:val="1"/>
    </w:pPr>
    <w:rPr>
      <w:b/>
      <w:bCs/>
      <w:sz w:val="32"/>
      <w:szCs w:val="32"/>
    </w:rPr>
  </w:style>
  <w:style w:type="paragraph" w:styleId="Heading">
    <w:name w:val="Heading"/>
    <w:basedOn w:val="Normal"/>
    <w:next w:val="TextBody"/>
    <w:qFormat/>
    <w:pPr>
      <w:keepNext/>
      <w:spacing w:before="240" w:after="120"/>
    </w:pPr>
    <w:rPr>
      <w:rFonts w:ascii="Liberation Sans" w:hAnsi="Liberation Sans" w:eastAsia="DejaVu Sans"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367</TotalTime>
  <Application>LibreOffice/5.2.7.2$Linux_X86_64 LibreOffice_project/20m0$Build-2</Application>
  <Pages>2</Pages>
  <Words>255</Words>
  <Characters>1406</Characters>
  <CharactersWithSpaces>1649</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2023-02-06T03:07:05Z</dcterms:created>
  <dc:creator/>
  <dc:description/>
  <dc:language>pl-PL</dc:language>
  <cp:lastModifiedBy/>
  <dcterms:modified xsi:type="dcterms:W3CDTF">2023-02-24T10:44:59Z</dcterms:modified>
  <cp:revision>28</cp:revision>
  <dc:subject/>
  <dc:title/>
</cp:coreProperties>
</file>